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70992" w14:textId="77777777" w:rsidR="008E72DF" w:rsidRDefault="008E72DF" w:rsidP="008E72DF">
      <w:pPr>
        <w:keepNext/>
        <w:keepLines/>
        <w:spacing w:after="200" w:line="276" w:lineRule="auto"/>
        <w:jc w:val="both"/>
        <w:outlineLvl w:val="1"/>
        <w:rPr>
          <w:rFonts w:eastAsia="Times New Roman" w:cstheme="majorBidi"/>
          <w:b/>
          <w:color w:val="7EA2D1"/>
          <w:sz w:val="26"/>
          <w:szCs w:val="26"/>
        </w:rPr>
      </w:pPr>
      <w:bookmarkStart w:id="0" w:name="_Toc442200546"/>
      <w:r w:rsidRPr="008E72DF">
        <w:rPr>
          <w:rFonts w:eastAsia="Times New Roman" w:cstheme="majorBidi"/>
          <w:b/>
          <w:color w:val="7EA2D1"/>
          <w:sz w:val="26"/>
          <w:szCs w:val="26"/>
        </w:rPr>
        <w:t>Příloha žádosti o podporu z OP VVV</w:t>
      </w:r>
      <w:bookmarkEnd w:id="0"/>
      <w:r w:rsidR="00234707">
        <w:rPr>
          <w:rFonts w:eastAsia="Times New Roman" w:cstheme="majorBidi"/>
          <w:b/>
          <w:color w:val="7EA2D1"/>
          <w:sz w:val="26"/>
          <w:szCs w:val="26"/>
        </w:rPr>
        <w:t xml:space="preserve"> – výzva Zvyšování kvality neformálního vzdělávání</w:t>
      </w:r>
    </w:p>
    <w:p w14:paraId="55D713E2" w14:textId="77777777" w:rsidR="000F245E" w:rsidRPr="00B02EB2" w:rsidRDefault="000F245E" w:rsidP="000F245E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 w:rsidRPr="00EE17A3">
        <w:rPr>
          <w:rFonts w:asciiTheme="minorHAnsi" w:eastAsia="Times New Roman" w:hAnsiTheme="minorHAnsi"/>
          <w:color w:val="003399"/>
        </w:rPr>
        <w:t>Zkušenost</w:t>
      </w:r>
      <w:r w:rsidR="0005072D">
        <w:rPr>
          <w:rFonts w:asciiTheme="minorHAnsi" w:eastAsia="Times New Roman" w:hAnsiTheme="minorHAnsi"/>
          <w:color w:val="003399"/>
        </w:rPr>
        <w:t>i</w:t>
      </w:r>
      <w:r w:rsidRPr="00EE17A3">
        <w:rPr>
          <w:rFonts w:asciiTheme="minorHAnsi" w:eastAsia="Times New Roman" w:hAnsiTheme="minorHAnsi"/>
          <w:color w:val="003399"/>
        </w:rPr>
        <w:t xml:space="preserve"> s</w:t>
      </w:r>
      <w:r w:rsidR="00805E09">
        <w:rPr>
          <w:rFonts w:asciiTheme="minorHAnsi" w:eastAsia="Times New Roman" w:hAnsiTheme="minorHAnsi"/>
          <w:color w:val="003399"/>
        </w:rPr>
        <w:t xml:space="preserve"> prací s </w:t>
      </w:r>
      <w:r w:rsidRPr="00EE17A3">
        <w:rPr>
          <w:rFonts w:asciiTheme="minorHAnsi" w:eastAsia="Times New Roman" w:hAnsiTheme="minorHAnsi"/>
          <w:color w:val="003399"/>
        </w:rPr>
        <w:t>cílovou skupinou</w:t>
      </w:r>
      <w:r w:rsidR="0019779A" w:rsidRPr="003944D7">
        <w:rPr>
          <w:rStyle w:val="Znakapoznpodarou"/>
        </w:rPr>
        <w:footnoteReference w:id="2"/>
      </w:r>
      <w:r w:rsidRPr="00EE17A3">
        <w:rPr>
          <w:rFonts w:asciiTheme="minorHAnsi" w:eastAsia="Times New Roman" w:hAnsiTheme="minorHAnsi"/>
          <w:color w:val="003399"/>
        </w:rPr>
        <w:t xml:space="preserve"> 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1340"/>
      </w:tblGrid>
      <w:tr w:rsidR="00B02EB2" w:rsidRPr="00072E57" w14:paraId="3ADF7CEA" w14:textId="77777777" w:rsidTr="00AB6F7F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3722AA08" w14:textId="77777777" w:rsidR="00B02EB2" w:rsidRPr="00072E57" w:rsidRDefault="00B02EB2" w:rsidP="007D09BD">
            <w:pPr>
              <w:spacing w:after="0"/>
              <w:rPr>
                <w:rFonts w:eastAsia="Calibri" w:cs="Arial"/>
                <w:b/>
              </w:rPr>
            </w:pPr>
            <w:r w:rsidRPr="00072E57">
              <w:rPr>
                <w:rFonts w:eastAsia="Calibri" w:cs="Arial"/>
                <w:b/>
              </w:rPr>
              <w:t>Název projektu</w:t>
            </w:r>
            <w:r w:rsidR="00922567">
              <w:rPr>
                <w:rFonts w:eastAsia="Calibri" w:cs="Arial"/>
                <w:b/>
              </w:rPr>
              <w:t>:</w:t>
            </w:r>
          </w:p>
        </w:tc>
        <w:tc>
          <w:tcPr>
            <w:tcW w:w="11340" w:type="dxa"/>
            <w:shd w:val="clear" w:color="auto" w:fill="auto"/>
          </w:tcPr>
          <w:p w14:paraId="47E1C215" w14:textId="601DE2D3" w:rsidR="00B02EB2" w:rsidRPr="00072E57" w:rsidRDefault="00A15375" w:rsidP="004B0505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Pod jednou střechou</w:t>
            </w:r>
          </w:p>
        </w:tc>
      </w:tr>
      <w:tr w:rsidR="00B02EB2" w:rsidRPr="00072E57" w14:paraId="690EC445" w14:textId="77777777" w:rsidTr="00AB6F7F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2AC7FC51" w14:textId="77777777" w:rsidR="00B02EB2" w:rsidRPr="00072E57" w:rsidRDefault="004938D7" w:rsidP="007D09BD">
            <w:pPr>
              <w:spacing w:after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Žadatel</w:t>
            </w:r>
            <w:r w:rsidR="00922567">
              <w:rPr>
                <w:rFonts w:eastAsia="Calibri" w:cs="Arial"/>
                <w:b/>
              </w:rPr>
              <w:t>:</w:t>
            </w:r>
          </w:p>
        </w:tc>
        <w:tc>
          <w:tcPr>
            <w:tcW w:w="11340" w:type="dxa"/>
            <w:shd w:val="clear" w:color="auto" w:fill="auto"/>
          </w:tcPr>
          <w:p w14:paraId="55278B10" w14:textId="316F39BE" w:rsidR="00B02EB2" w:rsidRPr="00072E57" w:rsidRDefault="007C0867" w:rsidP="004B0505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RADAMBUK- Rada dětí a mládeže Jihočeského </w:t>
            </w:r>
            <w:proofErr w:type="gramStart"/>
            <w:r>
              <w:rPr>
                <w:rFonts w:eastAsia="Calibri" w:cs="Arial"/>
              </w:rPr>
              <w:t>kraje z.s.</w:t>
            </w:r>
            <w:proofErr w:type="gramEnd"/>
          </w:p>
        </w:tc>
      </w:tr>
    </w:tbl>
    <w:p w14:paraId="768C74A3" w14:textId="77777777" w:rsidR="00A7636F" w:rsidRDefault="00A7636F" w:rsidP="007F2FAE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</w:p>
    <w:p w14:paraId="05638ECC" w14:textId="77777777" w:rsidR="007F2FAE" w:rsidRDefault="00782279" w:rsidP="007F2FAE">
      <w:pPr>
        <w:widowControl w:val="0"/>
        <w:adjustRightInd w:val="0"/>
        <w:spacing w:after="0" w:line="276" w:lineRule="auto"/>
        <w:jc w:val="both"/>
        <w:textAlignment w:val="baseline"/>
      </w:pPr>
      <w:r>
        <w:rPr>
          <w:szCs w:val="20"/>
        </w:rPr>
        <w:t>J</w:t>
      </w:r>
      <w:r w:rsidR="00056E73" w:rsidRPr="00B02EB2">
        <w:rPr>
          <w:szCs w:val="20"/>
        </w:rPr>
        <w:t>e možné uvést zkušenosti s prací s cílovou skupinou i mimo tematické zaměření</w:t>
      </w:r>
      <w:r w:rsidR="00284AD6">
        <w:rPr>
          <w:szCs w:val="20"/>
        </w:rPr>
        <w:t xml:space="preserve"> </w:t>
      </w:r>
      <w:r w:rsidR="00056E73" w:rsidRPr="00B02EB2">
        <w:rPr>
          <w:szCs w:val="20"/>
        </w:rPr>
        <w:t>aktivit výzvy.</w:t>
      </w:r>
    </w:p>
    <w:tbl>
      <w:tblPr>
        <w:tblStyle w:val="Mkatabulky"/>
        <w:tblW w:w="14596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126"/>
        <w:gridCol w:w="2694"/>
        <w:gridCol w:w="7371"/>
      </w:tblGrid>
      <w:tr w:rsidR="001A7D88" w:rsidRPr="00BD0B5C" w14:paraId="0E055584" w14:textId="77777777" w:rsidTr="00DF68A6">
        <w:trPr>
          <w:trHeight w:val="695"/>
        </w:trPr>
        <w:tc>
          <w:tcPr>
            <w:tcW w:w="534" w:type="dxa"/>
            <w:shd w:val="clear" w:color="auto" w:fill="BDD6EE" w:themeFill="accent1" w:themeFillTint="66"/>
          </w:tcPr>
          <w:p w14:paraId="5769EC11" w14:textId="77777777" w:rsidR="001A7D88" w:rsidRPr="003944D7" w:rsidRDefault="001A7D88" w:rsidP="00BD0B5C">
            <w:pPr>
              <w:jc w:val="center"/>
              <w:rPr>
                <w:b/>
              </w:rPr>
            </w:pPr>
          </w:p>
        </w:tc>
        <w:tc>
          <w:tcPr>
            <w:tcW w:w="1871" w:type="dxa"/>
            <w:shd w:val="clear" w:color="auto" w:fill="BDD6EE" w:themeFill="accent1" w:themeFillTint="66"/>
            <w:vAlign w:val="center"/>
          </w:tcPr>
          <w:p w14:paraId="15923EB7" w14:textId="77777777" w:rsidR="001A7D88" w:rsidRPr="003944D7" w:rsidRDefault="001A7D88" w:rsidP="00BD0B5C">
            <w:pPr>
              <w:jc w:val="center"/>
              <w:rPr>
                <w:b/>
              </w:rPr>
            </w:pPr>
            <w:r>
              <w:rPr>
                <w:b/>
              </w:rPr>
              <w:t>Název subjektu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267CB398" w14:textId="77777777" w:rsidR="00824E70" w:rsidRDefault="00824E70" w:rsidP="00824E70">
            <w:pPr>
              <w:jc w:val="center"/>
              <w:rPr>
                <w:b/>
              </w:rPr>
            </w:pPr>
          </w:p>
          <w:p w14:paraId="1902A224" w14:textId="77777777" w:rsidR="001A7D88" w:rsidRPr="003944D7" w:rsidRDefault="001A7D88" w:rsidP="00824E70">
            <w:pPr>
              <w:jc w:val="center"/>
              <w:rPr>
                <w:b/>
              </w:rPr>
            </w:pPr>
            <w:r>
              <w:rPr>
                <w:b/>
              </w:rPr>
              <w:t>Způsob zapojení do projektu</w:t>
            </w:r>
            <w:r w:rsidRPr="003944D7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15130357" w14:textId="77777777" w:rsidR="00824E70" w:rsidRDefault="00824E70" w:rsidP="00BD0B5C">
            <w:pPr>
              <w:jc w:val="center"/>
              <w:rPr>
                <w:b/>
              </w:rPr>
            </w:pPr>
          </w:p>
          <w:p w14:paraId="1573E64B" w14:textId="77777777" w:rsidR="001A7D88" w:rsidRPr="00AB6F7F" w:rsidRDefault="001A7D88" w:rsidP="008E5B0E">
            <w:pPr>
              <w:jc w:val="center"/>
              <w:rPr>
                <w:sz w:val="16"/>
                <w:szCs w:val="16"/>
              </w:rPr>
            </w:pPr>
            <w:r w:rsidRPr="003944D7">
              <w:rPr>
                <w:b/>
              </w:rPr>
              <w:t>Cílová skupina</w:t>
            </w:r>
            <w:r w:rsidR="00F23A51">
              <w:rPr>
                <w:rStyle w:val="Znakapoznpodarou"/>
                <w:b/>
              </w:rPr>
              <w:footnoteReference w:id="4"/>
            </w:r>
          </w:p>
        </w:tc>
        <w:tc>
          <w:tcPr>
            <w:tcW w:w="7371" w:type="dxa"/>
            <w:shd w:val="clear" w:color="auto" w:fill="BDD6EE" w:themeFill="accent1" w:themeFillTint="66"/>
            <w:vAlign w:val="center"/>
          </w:tcPr>
          <w:p w14:paraId="1A567BE1" w14:textId="77777777" w:rsidR="00D020C3" w:rsidRDefault="00D020C3" w:rsidP="00811575">
            <w:pPr>
              <w:jc w:val="center"/>
              <w:rPr>
                <w:b/>
              </w:rPr>
            </w:pPr>
          </w:p>
          <w:p w14:paraId="02DB15CC" w14:textId="77777777" w:rsidR="001A7D88" w:rsidRDefault="001A7D88" w:rsidP="00811575">
            <w:pPr>
              <w:jc w:val="center"/>
              <w:rPr>
                <w:b/>
              </w:rPr>
            </w:pPr>
            <w:r>
              <w:rPr>
                <w:b/>
              </w:rPr>
              <w:t>Realizovaná</w:t>
            </w:r>
            <w:r w:rsidRPr="003944D7">
              <w:rPr>
                <w:b/>
              </w:rPr>
              <w:t xml:space="preserve"> aktivit</w:t>
            </w:r>
            <w:r>
              <w:rPr>
                <w:b/>
              </w:rPr>
              <w:t>a</w:t>
            </w:r>
          </w:p>
          <w:p w14:paraId="29DFE949" w14:textId="77777777" w:rsidR="001A7D88" w:rsidRPr="00D0631E" w:rsidRDefault="00824E70" w:rsidP="00D06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1A7D88">
              <w:rPr>
                <w:sz w:val="16"/>
                <w:szCs w:val="16"/>
              </w:rPr>
              <w:t>ázev</w:t>
            </w:r>
            <w:r>
              <w:rPr>
                <w:sz w:val="16"/>
                <w:szCs w:val="16"/>
              </w:rPr>
              <w:t xml:space="preserve">, </w:t>
            </w:r>
            <w:r w:rsidR="006470BB">
              <w:rPr>
                <w:sz w:val="16"/>
                <w:szCs w:val="16"/>
              </w:rPr>
              <w:t>rok realizace (</w:t>
            </w:r>
            <w:r w:rsidR="001A7D88" w:rsidRPr="00AB6F7F">
              <w:rPr>
                <w:sz w:val="16"/>
                <w:szCs w:val="16"/>
              </w:rPr>
              <w:t>2017, 2018</w:t>
            </w:r>
            <w:r w:rsidR="00D0631E">
              <w:rPr>
                <w:sz w:val="16"/>
                <w:szCs w:val="16"/>
              </w:rPr>
              <w:t xml:space="preserve">, </w:t>
            </w:r>
            <w:r w:rsidR="001A7D88" w:rsidRPr="00AB6F7F">
              <w:rPr>
                <w:sz w:val="16"/>
                <w:szCs w:val="16"/>
              </w:rPr>
              <w:t>2019)</w:t>
            </w:r>
            <w:r w:rsidR="001A7D88" w:rsidRPr="00AB6F7F">
              <w:rPr>
                <w:rStyle w:val="Znakapoznpodarou"/>
                <w:sz w:val="16"/>
                <w:szCs w:val="16"/>
              </w:rPr>
              <w:footnoteReference w:id="5"/>
            </w:r>
          </w:p>
        </w:tc>
      </w:tr>
      <w:tr w:rsidR="001A7D88" w14:paraId="16993F6D" w14:textId="77777777" w:rsidTr="00DF68A6">
        <w:tc>
          <w:tcPr>
            <w:tcW w:w="534" w:type="dxa"/>
          </w:tcPr>
          <w:p w14:paraId="7DAE51B6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1.</w:t>
            </w:r>
          </w:p>
        </w:tc>
        <w:tc>
          <w:tcPr>
            <w:tcW w:w="1871" w:type="dxa"/>
          </w:tcPr>
          <w:p w14:paraId="2381AC21" w14:textId="1306F0B6" w:rsidR="001A7D88" w:rsidRDefault="007C0867" w:rsidP="00AE50EB">
            <w:pPr>
              <w:widowControl w:val="0"/>
              <w:adjustRightInd w:val="0"/>
              <w:spacing w:line="276" w:lineRule="auto"/>
              <w:textAlignment w:val="baseline"/>
            </w:pPr>
            <w:r>
              <w:t xml:space="preserve">RADAMBUK- Rada dětí a mládeže Jihočeského </w:t>
            </w:r>
            <w:proofErr w:type="gramStart"/>
            <w:r>
              <w:t>kraje z.s.</w:t>
            </w:r>
            <w:proofErr w:type="gramEnd"/>
          </w:p>
        </w:tc>
        <w:tc>
          <w:tcPr>
            <w:tcW w:w="2126" w:type="dxa"/>
          </w:tcPr>
          <w:p w14:paraId="40B52EF4" w14:textId="0C4D42EC" w:rsidR="001A7D88" w:rsidRDefault="007C0867" w:rsidP="00AE50EB">
            <w:pPr>
              <w:widowControl w:val="0"/>
              <w:adjustRightInd w:val="0"/>
              <w:spacing w:line="276" w:lineRule="auto"/>
              <w:textAlignment w:val="baseline"/>
            </w:pPr>
            <w:r>
              <w:t>žadatel</w:t>
            </w:r>
          </w:p>
        </w:tc>
        <w:tc>
          <w:tcPr>
            <w:tcW w:w="2694" w:type="dxa"/>
          </w:tcPr>
          <w:p w14:paraId="366BC683" w14:textId="5FAB6D19" w:rsidR="007C0867" w:rsidRDefault="007C0867" w:rsidP="007C0867">
            <w:pPr>
              <w:pStyle w:val="Textpoznpodarou"/>
            </w:pPr>
            <w:r>
              <w:t xml:space="preserve">- </w:t>
            </w:r>
            <w:r>
              <w:t xml:space="preserve">účastníci neformálního vzdělávání (děti od 3 let, žáci základních a středních škol); </w:t>
            </w:r>
          </w:p>
          <w:p w14:paraId="42806333" w14:textId="77777777" w:rsidR="004925F7" w:rsidRDefault="004925F7" w:rsidP="007C0867">
            <w:pPr>
              <w:pStyle w:val="Textpoznpodarou"/>
            </w:pPr>
          </w:p>
          <w:p w14:paraId="526A6435" w14:textId="77777777" w:rsidR="004925F7" w:rsidRDefault="004925F7" w:rsidP="007C0867">
            <w:pPr>
              <w:pStyle w:val="Textpoznpodarou"/>
            </w:pPr>
          </w:p>
          <w:p w14:paraId="5693266F" w14:textId="77777777" w:rsidR="004925F7" w:rsidRDefault="004925F7" w:rsidP="007C0867">
            <w:pPr>
              <w:pStyle w:val="Textpoznpodarou"/>
            </w:pPr>
          </w:p>
          <w:p w14:paraId="663660B7" w14:textId="77777777" w:rsidR="004925F7" w:rsidRDefault="004925F7" w:rsidP="007C0867">
            <w:pPr>
              <w:pStyle w:val="Textpoznpodarou"/>
            </w:pPr>
          </w:p>
          <w:p w14:paraId="4F293801" w14:textId="77777777" w:rsidR="004925F7" w:rsidRDefault="004925F7" w:rsidP="007C0867">
            <w:pPr>
              <w:pStyle w:val="Textpoznpodarou"/>
            </w:pPr>
          </w:p>
          <w:p w14:paraId="7B564AF0" w14:textId="77777777" w:rsidR="004925F7" w:rsidRDefault="004925F7" w:rsidP="007C0867">
            <w:pPr>
              <w:pStyle w:val="Textpoznpodarou"/>
            </w:pPr>
          </w:p>
          <w:p w14:paraId="7FDAFB20" w14:textId="77777777" w:rsidR="004925F7" w:rsidRDefault="004925F7" w:rsidP="007C0867">
            <w:pPr>
              <w:pStyle w:val="Textpoznpodarou"/>
            </w:pPr>
          </w:p>
          <w:p w14:paraId="0EE1009A" w14:textId="77777777" w:rsidR="004925F7" w:rsidRDefault="004925F7" w:rsidP="007C0867">
            <w:pPr>
              <w:pStyle w:val="Textpoznpodarou"/>
            </w:pPr>
          </w:p>
          <w:p w14:paraId="68E0BEBA" w14:textId="77777777" w:rsidR="004925F7" w:rsidRDefault="004925F7" w:rsidP="007C0867">
            <w:pPr>
              <w:pStyle w:val="Textpoznpodarou"/>
            </w:pPr>
          </w:p>
          <w:p w14:paraId="691C8596" w14:textId="77777777" w:rsidR="007C0867" w:rsidRDefault="007C0867" w:rsidP="007C0867">
            <w:pPr>
              <w:pStyle w:val="Textpoznpodarou"/>
            </w:pPr>
            <w:r>
              <w:lastRenderedPageBreak/>
              <w:t>- pracovníci a dobrovolní pracovníci organizací působících v oblasti vzdělávání a v oblasti neformálního a zájmového vzdělávání dětí a mládeže;</w:t>
            </w:r>
          </w:p>
          <w:p w14:paraId="65EB7ED7" w14:textId="3E3E4058" w:rsidR="00DF68A6" w:rsidRDefault="00DF68A6" w:rsidP="007C0867">
            <w:pPr>
              <w:pStyle w:val="Textpoznpodarou"/>
            </w:pPr>
            <w:r>
              <w:t xml:space="preserve">- </w:t>
            </w:r>
            <w:r>
              <w:t>pedagogičtí pracovníci</w:t>
            </w:r>
          </w:p>
          <w:p w14:paraId="01D70CA1" w14:textId="6373B611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14A6A41D" w14:textId="5E8D51C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  <w:r>
              <w:lastRenderedPageBreak/>
              <w:t>- akce pro děti a mládež</w:t>
            </w:r>
            <w:r w:rsidR="00E545FD">
              <w:t xml:space="preserve"> (</w:t>
            </w:r>
            <w:r w:rsidR="004925F7">
              <w:t xml:space="preserve">např. </w:t>
            </w:r>
            <w:r w:rsidR="00E545FD">
              <w:t xml:space="preserve">BAMBIFEST, Hry bez hranic, </w:t>
            </w:r>
            <w:r w:rsidR="004925F7">
              <w:t>D</w:t>
            </w:r>
            <w:r w:rsidR="00E545FD">
              <w:t xml:space="preserve">ětský den, divadelní představení, Uklidíme Branišovský les, Indiáni v </w:t>
            </w:r>
            <w:proofErr w:type="spellStart"/>
            <w:r w:rsidR="00E545FD">
              <w:t>Homolích,</w:t>
            </w:r>
            <w:r w:rsidR="004925F7">
              <w:t>Vánoční</w:t>
            </w:r>
            <w:proofErr w:type="spellEnd"/>
            <w:r w:rsidR="004925F7">
              <w:t xml:space="preserve"> setkání v Divadle u Kapličky….),</w:t>
            </w:r>
            <w:r w:rsidR="00E545FD">
              <w:t xml:space="preserve"> workshopy (</w:t>
            </w:r>
            <w:r w:rsidR="004925F7">
              <w:t xml:space="preserve">např. </w:t>
            </w:r>
            <w:r w:rsidR="00E545FD">
              <w:t xml:space="preserve">Valentýnská tvořivá dílna, </w:t>
            </w:r>
            <w:proofErr w:type="spellStart"/>
            <w:r w:rsidR="00E545FD">
              <w:t>plackování</w:t>
            </w:r>
            <w:proofErr w:type="spellEnd"/>
            <w:r>
              <w:t xml:space="preserve">, </w:t>
            </w:r>
            <w:r w:rsidR="004925F7">
              <w:t xml:space="preserve">Drátenický šperkařský </w:t>
            </w:r>
            <w:proofErr w:type="gramStart"/>
            <w:r w:rsidR="004925F7">
              <w:t xml:space="preserve">kroužek..), </w:t>
            </w:r>
            <w:r>
              <w:t>projektové</w:t>
            </w:r>
            <w:proofErr w:type="gramEnd"/>
            <w:r>
              <w:t xml:space="preserve"> dny, vzdělávací kurzy</w:t>
            </w:r>
            <w:r w:rsidR="00E545FD">
              <w:t xml:space="preserve"> (</w:t>
            </w:r>
            <w:proofErr w:type="spellStart"/>
            <w:r w:rsidR="00E545FD">
              <w:t>Kyberšikan</w:t>
            </w:r>
            <w:r w:rsidR="004925F7">
              <w:t>a</w:t>
            </w:r>
            <w:proofErr w:type="spellEnd"/>
            <w:r w:rsidR="00E545FD">
              <w:t xml:space="preserve"> a virtuální svět, 1. pomoc</w:t>
            </w:r>
            <w:r w:rsidR="004925F7">
              <w:t>, Projektový seminář Mládež kraji</w:t>
            </w:r>
            <w:r w:rsidR="00E545FD">
              <w:t>)</w:t>
            </w:r>
            <w:r>
              <w:t>,</w:t>
            </w:r>
            <w:r w:rsidR="004925F7">
              <w:t xml:space="preserve"> </w:t>
            </w:r>
            <w:r w:rsidR="00E545FD">
              <w:t xml:space="preserve">výtvarné soutěže, </w:t>
            </w:r>
            <w:r w:rsidR="004925F7">
              <w:t xml:space="preserve">charitativní sbírka Brýlí pro Afriku, realizace mládežnických projektů Mládež kraji – kraj Jihočeský, </w:t>
            </w:r>
            <w:r w:rsidR="00F5270F">
              <w:t>informační servis</w:t>
            </w:r>
            <w:r w:rsidR="004925F7">
              <w:t xml:space="preserve"> Informačního centra pro mládež s certifikací MŠMT</w:t>
            </w:r>
            <w:r w:rsidR="00F5270F">
              <w:t>.</w:t>
            </w:r>
            <w:bookmarkStart w:id="1" w:name="_GoBack"/>
            <w:bookmarkEnd w:id="1"/>
          </w:p>
          <w:p w14:paraId="1101DAE9" w14:textId="77777777" w:rsidR="004925F7" w:rsidRDefault="004925F7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  <w:p w14:paraId="320C22A1" w14:textId="7A366FE1" w:rsidR="001A7D88" w:rsidRDefault="00DF68A6" w:rsidP="004925F7">
            <w:pPr>
              <w:widowControl w:val="0"/>
              <w:adjustRightInd w:val="0"/>
              <w:spacing w:line="276" w:lineRule="auto"/>
              <w:textAlignment w:val="baseline"/>
            </w:pPr>
            <w:r>
              <w:lastRenderedPageBreak/>
              <w:t xml:space="preserve">- </w:t>
            </w:r>
            <w:r w:rsidR="004925F7">
              <w:t>metodická podpora, informační servis,</w:t>
            </w:r>
            <w:r w:rsidR="004925F7">
              <w:t xml:space="preserve"> </w:t>
            </w:r>
            <w:r w:rsidR="004925F7">
              <w:t xml:space="preserve">poradenství, konzultace, </w:t>
            </w:r>
            <w:r>
              <w:t>semináře</w:t>
            </w:r>
            <w:r w:rsidR="004925F7">
              <w:t xml:space="preserve"> </w:t>
            </w:r>
            <w:r w:rsidR="00E545FD">
              <w:t>(Seminá</w:t>
            </w:r>
            <w:r w:rsidR="004925F7">
              <w:t xml:space="preserve">ř vedení účetnictví ve </w:t>
            </w:r>
            <w:proofErr w:type="gramStart"/>
            <w:r w:rsidR="004925F7">
              <w:t>spolcích..)</w:t>
            </w:r>
            <w:r>
              <w:t>, přednášky</w:t>
            </w:r>
            <w:proofErr w:type="gramEnd"/>
            <w:r w:rsidR="004925F7">
              <w:t xml:space="preserve"> (</w:t>
            </w:r>
            <w:proofErr w:type="spellStart"/>
            <w:r w:rsidR="004925F7">
              <w:t>Work</w:t>
            </w:r>
            <w:proofErr w:type="spellEnd"/>
            <w:r w:rsidR="004925F7">
              <w:t xml:space="preserve"> and </w:t>
            </w:r>
            <w:proofErr w:type="spellStart"/>
            <w:r w:rsidR="004925F7">
              <w:t>Travel</w:t>
            </w:r>
            <w:proofErr w:type="spellEnd"/>
            <w:r w:rsidR="004925F7">
              <w:t>..)</w:t>
            </w:r>
            <w:r>
              <w:t>, vzdělávací kurzy</w:t>
            </w:r>
            <w:r w:rsidR="004925F7">
              <w:t xml:space="preserve"> (</w:t>
            </w:r>
            <w:r w:rsidR="00E545FD">
              <w:t>Hlavní vedoucí dětského tábora, Instruktor, rádce oddílu, Vedoucí dětského kolektivu,</w:t>
            </w:r>
            <w:r w:rsidR="004925F7">
              <w:t xml:space="preserve"> </w:t>
            </w:r>
            <w:r w:rsidR="00E545FD">
              <w:t xml:space="preserve">Školení vedoucích zaměstnanců spolků o BOZP a PO, Zdravotník zotavovacích akcí, Opakovací kurz Zdravotník zotavovacích </w:t>
            </w:r>
            <w:proofErr w:type="spellStart"/>
            <w:r w:rsidR="00E545FD">
              <w:t>akcí</w:t>
            </w:r>
            <w:r>
              <w:t>,</w:t>
            </w:r>
            <w:r w:rsidR="00E545FD">
              <w:t>kurz</w:t>
            </w:r>
            <w:proofErr w:type="spellEnd"/>
            <w:r w:rsidR="00E545FD">
              <w:t xml:space="preserve"> Řešení mimořádných událostí na akcích s dětmi a mládeží</w:t>
            </w:r>
            <w:r w:rsidR="004925F7">
              <w:t xml:space="preserve">, Instruktor vodní turistiky, lyžování, stavby vysokých a nízkých lanových překážek, </w:t>
            </w:r>
            <w:proofErr w:type="spellStart"/>
            <w:r w:rsidR="004925F7">
              <w:t>Facebook</w:t>
            </w:r>
            <w:proofErr w:type="spellEnd"/>
            <w:r w:rsidR="004925F7">
              <w:t>, Corel..</w:t>
            </w:r>
            <w:r w:rsidR="00E545FD">
              <w:t xml:space="preserve">), dobrovolnické akce v zahraničí </w:t>
            </w:r>
            <w:r w:rsidR="004925F7">
              <w:t xml:space="preserve">v rámci projektu </w:t>
            </w:r>
            <w:r w:rsidR="00E545FD">
              <w:t>72 hodin)</w:t>
            </w:r>
            <w:r w:rsidR="004925F7">
              <w:t>.</w:t>
            </w:r>
          </w:p>
        </w:tc>
      </w:tr>
      <w:tr w:rsidR="001A7D88" w14:paraId="63F955A1" w14:textId="77777777" w:rsidTr="00DF68A6">
        <w:tc>
          <w:tcPr>
            <w:tcW w:w="534" w:type="dxa"/>
          </w:tcPr>
          <w:p w14:paraId="10230747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lastRenderedPageBreak/>
              <w:t>2.</w:t>
            </w:r>
          </w:p>
        </w:tc>
        <w:tc>
          <w:tcPr>
            <w:tcW w:w="1871" w:type="dxa"/>
          </w:tcPr>
          <w:p w14:paraId="2ADAD7A1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288F151B" w14:textId="297EA919" w:rsidR="001A7D88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  <w:r>
              <w:t>Partner s finančním příspěvkem</w:t>
            </w:r>
          </w:p>
        </w:tc>
        <w:tc>
          <w:tcPr>
            <w:tcW w:w="2694" w:type="dxa"/>
          </w:tcPr>
          <w:p w14:paraId="14296994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13C41228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1443D33B" w14:textId="77777777" w:rsidTr="00DF68A6">
        <w:tc>
          <w:tcPr>
            <w:tcW w:w="534" w:type="dxa"/>
          </w:tcPr>
          <w:p w14:paraId="6F56FE2B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3.</w:t>
            </w:r>
          </w:p>
        </w:tc>
        <w:tc>
          <w:tcPr>
            <w:tcW w:w="1871" w:type="dxa"/>
          </w:tcPr>
          <w:p w14:paraId="77619B0C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76861D0F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1215B27A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656CA6B1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49BFD64B" w14:textId="77777777" w:rsidTr="00DF68A6">
        <w:tc>
          <w:tcPr>
            <w:tcW w:w="534" w:type="dxa"/>
          </w:tcPr>
          <w:p w14:paraId="090B4CBD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4.</w:t>
            </w:r>
          </w:p>
        </w:tc>
        <w:tc>
          <w:tcPr>
            <w:tcW w:w="1871" w:type="dxa"/>
          </w:tcPr>
          <w:p w14:paraId="118B9B05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33C6D6AC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6E2665BD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5219FB05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529EBCC3" w14:textId="77777777" w:rsidTr="00DF68A6">
        <w:tc>
          <w:tcPr>
            <w:tcW w:w="534" w:type="dxa"/>
          </w:tcPr>
          <w:p w14:paraId="5F8CCF2A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5.</w:t>
            </w:r>
          </w:p>
        </w:tc>
        <w:tc>
          <w:tcPr>
            <w:tcW w:w="1871" w:type="dxa"/>
          </w:tcPr>
          <w:p w14:paraId="37F468E2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36686BC9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5EFBD502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7E27A981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02A757D7" w14:textId="77777777" w:rsidTr="00DF68A6">
        <w:tc>
          <w:tcPr>
            <w:tcW w:w="534" w:type="dxa"/>
          </w:tcPr>
          <w:p w14:paraId="2EBC6B45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6.</w:t>
            </w:r>
          </w:p>
        </w:tc>
        <w:tc>
          <w:tcPr>
            <w:tcW w:w="1871" w:type="dxa"/>
          </w:tcPr>
          <w:p w14:paraId="0D6BF529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01A8D720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4551A710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6882F2BE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141EEFAF" w14:textId="77777777" w:rsidTr="00DF68A6">
        <w:tc>
          <w:tcPr>
            <w:tcW w:w="534" w:type="dxa"/>
          </w:tcPr>
          <w:p w14:paraId="68E18D66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7.</w:t>
            </w:r>
          </w:p>
        </w:tc>
        <w:tc>
          <w:tcPr>
            <w:tcW w:w="1871" w:type="dxa"/>
          </w:tcPr>
          <w:p w14:paraId="2FFA6809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3475F3EB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2C1B3F43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2C56AC5B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A7D88" w14:paraId="000AE04C" w14:textId="77777777" w:rsidTr="00DF68A6">
        <w:tc>
          <w:tcPr>
            <w:tcW w:w="534" w:type="dxa"/>
          </w:tcPr>
          <w:p w14:paraId="01DDD123" w14:textId="77777777" w:rsidR="001A7D88" w:rsidRDefault="001A7D88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8.</w:t>
            </w:r>
          </w:p>
        </w:tc>
        <w:tc>
          <w:tcPr>
            <w:tcW w:w="1871" w:type="dxa"/>
          </w:tcPr>
          <w:p w14:paraId="35ACE6E9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45233F28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743AA916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09759CBE" w14:textId="77777777" w:rsidR="001A7D88" w:rsidRDefault="001A7D88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DF68A6" w14:paraId="20DC3ADE" w14:textId="77777777" w:rsidTr="00DF68A6">
        <w:tc>
          <w:tcPr>
            <w:tcW w:w="534" w:type="dxa"/>
          </w:tcPr>
          <w:p w14:paraId="1F283CFE" w14:textId="042E446F" w:rsidR="00DF68A6" w:rsidRDefault="00DF68A6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9.</w:t>
            </w:r>
          </w:p>
        </w:tc>
        <w:tc>
          <w:tcPr>
            <w:tcW w:w="1871" w:type="dxa"/>
          </w:tcPr>
          <w:p w14:paraId="65B8AD5D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78DFAF49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38546FF1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1A574419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DF68A6" w14:paraId="352BA548" w14:textId="77777777" w:rsidTr="00DF68A6">
        <w:tc>
          <w:tcPr>
            <w:tcW w:w="534" w:type="dxa"/>
          </w:tcPr>
          <w:p w14:paraId="7632AFD4" w14:textId="7E041975" w:rsidR="00DF68A6" w:rsidRDefault="00DF68A6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10.</w:t>
            </w:r>
          </w:p>
        </w:tc>
        <w:tc>
          <w:tcPr>
            <w:tcW w:w="1871" w:type="dxa"/>
          </w:tcPr>
          <w:p w14:paraId="11904065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66031737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1F9E7F7C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1E8D7E1B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DF68A6" w14:paraId="5CF4A494" w14:textId="77777777" w:rsidTr="00DF68A6">
        <w:tc>
          <w:tcPr>
            <w:tcW w:w="534" w:type="dxa"/>
          </w:tcPr>
          <w:p w14:paraId="6FE7DE53" w14:textId="0D42E06F" w:rsidR="00DF68A6" w:rsidRDefault="00DF68A6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11.</w:t>
            </w:r>
          </w:p>
        </w:tc>
        <w:tc>
          <w:tcPr>
            <w:tcW w:w="1871" w:type="dxa"/>
          </w:tcPr>
          <w:p w14:paraId="2D491190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67337B15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3D05B031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1E45204B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DF68A6" w14:paraId="47CFA65E" w14:textId="77777777" w:rsidTr="00DF68A6">
        <w:tc>
          <w:tcPr>
            <w:tcW w:w="534" w:type="dxa"/>
          </w:tcPr>
          <w:p w14:paraId="79E3633D" w14:textId="59A8B367" w:rsidR="00DF68A6" w:rsidRDefault="00DF68A6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12.</w:t>
            </w:r>
          </w:p>
        </w:tc>
        <w:tc>
          <w:tcPr>
            <w:tcW w:w="1871" w:type="dxa"/>
          </w:tcPr>
          <w:p w14:paraId="23632435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126" w:type="dxa"/>
          </w:tcPr>
          <w:p w14:paraId="2D70C146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694" w:type="dxa"/>
          </w:tcPr>
          <w:p w14:paraId="59B360DC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7371" w:type="dxa"/>
          </w:tcPr>
          <w:p w14:paraId="5197CE3C" w14:textId="77777777" w:rsidR="00DF68A6" w:rsidRDefault="00DF68A6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</w:tbl>
    <w:p w14:paraId="3C4B6AB9" w14:textId="77777777" w:rsidR="00555B20" w:rsidRPr="00667E57" w:rsidRDefault="002263EA" w:rsidP="00BD0B5C">
      <w:pPr>
        <w:widowControl w:val="0"/>
        <w:adjustRightInd w:val="0"/>
        <w:spacing w:after="0" w:line="276" w:lineRule="auto"/>
        <w:jc w:val="both"/>
        <w:textAlignment w:val="baseline"/>
      </w:pPr>
      <w:r w:rsidRPr="0024430B">
        <w:rPr>
          <w:i/>
          <w:sz w:val="18"/>
          <w:szCs w:val="18"/>
        </w:rPr>
        <w:t>V případě potřeby přidejte řádk</w:t>
      </w:r>
      <w:r w:rsidR="00AE50EB" w:rsidRPr="0024430B">
        <w:rPr>
          <w:i/>
          <w:sz w:val="18"/>
          <w:szCs w:val="18"/>
        </w:rPr>
        <w:t>y</w:t>
      </w:r>
      <w:r w:rsidR="00BD374D" w:rsidRPr="0024430B">
        <w:rPr>
          <w:i/>
          <w:sz w:val="18"/>
          <w:szCs w:val="18"/>
        </w:rPr>
        <w:t>.</w:t>
      </w:r>
      <w:r w:rsidRPr="0024430B">
        <w:rPr>
          <w:i/>
          <w:sz w:val="18"/>
          <w:szCs w:val="18"/>
        </w:rPr>
        <w:t xml:space="preserve"> </w:t>
      </w:r>
    </w:p>
    <w:sectPr w:rsidR="00555B20" w:rsidRPr="00667E57" w:rsidSect="0009530B">
      <w:headerReference w:type="default" r:id="rId13"/>
      <w:footerReference w:type="default" r:id="rId14"/>
      <w:pgSz w:w="16838" w:h="11906" w:orient="landscape"/>
      <w:pgMar w:top="1276" w:right="1417" w:bottom="1560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9D8DF" w14:textId="77777777" w:rsidR="008407CD" w:rsidRDefault="008407CD" w:rsidP="003E5669">
      <w:pPr>
        <w:spacing w:after="0" w:line="240" w:lineRule="auto"/>
      </w:pPr>
      <w:r>
        <w:separator/>
      </w:r>
    </w:p>
  </w:endnote>
  <w:endnote w:type="continuationSeparator" w:id="0">
    <w:p w14:paraId="0298AFFC" w14:textId="77777777" w:rsidR="008407CD" w:rsidRDefault="008407CD" w:rsidP="003E5669">
      <w:pPr>
        <w:spacing w:after="0" w:line="240" w:lineRule="auto"/>
      </w:pPr>
      <w:r>
        <w:continuationSeparator/>
      </w:r>
    </w:p>
  </w:endnote>
  <w:endnote w:type="continuationNotice" w:id="1">
    <w:p w14:paraId="4D8900B5" w14:textId="77777777" w:rsidR="008407CD" w:rsidRDefault="00840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588825"/>
      <w:docPartObj>
        <w:docPartGallery w:val="Page Numbers (Bottom of Page)"/>
        <w:docPartUnique/>
      </w:docPartObj>
    </w:sdtPr>
    <w:sdtEndPr/>
    <w:sdtContent>
      <w:p w14:paraId="3801F8D8" w14:textId="77777777" w:rsidR="00582F2C" w:rsidRPr="001D4C53" w:rsidRDefault="00582F2C" w:rsidP="00582F2C">
        <w:pPr>
          <w:pStyle w:val="Zpat"/>
          <w:jc w:val="right"/>
        </w:pPr>
        <w:r>
          <w:tab/>
        </w:r>
        <w:r>
          <w:tab/>
        </w:r>
        <w:r>
          <w:tab/>
        </w:r>
        <w:r>
          <w:tab/>
        </w:r>
        <w:r w:rsidRPr="001D4C53">
          <w:rPr>
            <w:noProof/>
            <w:lang w:eastAsia="cs-CZ"/>
          </w:rPr>
          <w:drawing>
            <wp:anchor distT="0" distB="0" distL="114300" distR="114300" simplePos="0" relativeHeight="251660289" behindDoc="1" locked="1" layoutInCell="1" allowOverlap="0" wp14:anchorId="6F077024" wp14:editId="0B65FEB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661535" cy="1033145"/>
              <wp:effectExtent l="0" t="0" r="5715" b="0"/>
              <wp:wrapNone/>
              <wp:docPr id="72" name="Obrázek 7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fldChar w:fldCharType="begin"/>
        </w:r>
        <w:r w:rsidRPr="001D4C53">
          <w:instrText>PAGE   \* MERGEFORMAT</w:instrText>
        </w:r>
        <w:r w:rsidRPr="001D4C53">
          <w:fldChar w:fldCharType="separate"/>
        </w:r>
        <w:r w:rsidR="00F5270F">
          <w:rPr>
            <w:noProof/>
          </w:rPr>
          <w:t>1</w:t>
        </w:r>
        <w:r w:rsidRPr="001D4C53">
          <w:fldChar w:fldCharType="end"/>
        </w:r>
      </w:p>
    </w:sdtContent>
  </w:sdt>
  <w:p w14:paraId="3EB440DF" w14:textId="77777777" w:rsidR="00582F2C" w:rsidRDefault="00582F2C" w:rsidP="00582F2C">
    <w:pPr>
      <w:pStyle w:val="Zpat"/>
      <w:tabs>
        <w:tab w:val="clear" w:pos="9072"/>
        <w:tab w:val="left" w:pos="6075"/>
        <w:tab w:val="center" w:pos="7001"/>
      </w:tabs>
    </w:pPr>
    <w:r>
      <w:tab/>
    </w:r>
    <w:r>
      <w:tab/>
    </w:r>
    <w:r>
      <w:tab/>
    </w:r>
  </w:p>
  <w:p w14:paraId="24299304" w14:textId="77777777" w:rsidR="004B0505" w:rsidRPr="00582F2C" w:rsidRDefault="004B0505" w:rsidP="00582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0E01" w14:textId="77777777" w:rsidR="008407CD" w:rsidRDefault="008407CD" w:rsidP="003E5669">
      <w:pPr>
        <w:spacing w:after="0" w:line="240" w:lineRule="auto"/>
      </w:pPr>
      <w:r>
        <w:separator/>
      </w:r>
    </w:p>
  </w:footnote>
  <w:footnote w:type="continuationSeparator" w:id="0">
    <w:p w14:paraId="09AD360A" w14:textId="77777777" w:rsidR="008407CD" w:rsidRDefault="008407CD" w:rsidP="003E5669">
      <w:pPr>
        <w:spacing w:after="0" w:line="240" w:lineRule="auto"/>
      </w:pPr>
      <w:r>
        <w:continuationSeparator/>
      </w:r>
    </w:p>
  </w:footnote>
  <w:footnote w:type="continuationNotice" w:id="1">
    <w:p w14:paraId="4FF941B6" w14:textId="77777777" w:rsidR="008407CD" w:rsidRDefault="008407CD">
      <w:pPr>
        <w:spacing w:after="0" w:line="240" w:lineRule="auto"/>
      </w:pPr>
    </w:p>
  </w:footnote>
  <w:footnote w:id="2">
    <w:p w14:paraId="62EA03E7" w14:textId="77777777" w:rsidR="0019779A" w:rsidRDefault="0019779A" w:rsidP="0019779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Zkušenosti žadatele i</w:t>
      </w:r>
      <w:r w:rsidR="00234707">
        <w:rPr>
          <w:rFonts w:ascii="Calibri" w:hAnsi="Calibri" w:cs="Calibri"/>
          <w:color w:val="000000"/>
        </w:rPr>
        <w:t xml:space="preserve"> partnera/ů. Zkušenosti žadatele </w:t>
      </w:r>
      <w:r>
        <w:rPr>
          <w:rFonts w:ascii="Calibri" w:hAnsi="Calibri" w:cs="Calibri"/>
          <w:color w:val="000000"/>
        </w:rPr>
        <w:t>lze nahradit zkušenostmi partnera.</w:t>
      </w:r>
    </w:p>
  </w:footnote>
  <w:footnote w:id="3">
    <w:p w14:paraId="46A4A90F" w14:textId="77777777" w:rsidR="001A7D88" w:rsidRDefault="001A7D88" w:rsidP="0019779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Žadatel,</w:t>
      </w:r>
      <w:r w:rsidR="006470BB">
        <w:rPr>
          <w:rFonts w:ascii="Calibri" w:hAnsi="Calibri" w:cs="Calibri"/>
          <w:color w:val="000000"/>
        </w:rPr>
        <w:t xml:space="preserve"> nebo</w:t>
      </w:r>
      <w:r>
        <w:rPr>
          <w:rFonts w:ascii="Calibri" w:hAnsi="Calibri" w:cs="Calibri"/>
          <w:color w:val="000000"/>
        </w:rPr>
        <w:t xml:space="preserve"> partner s finančním příspěvkem.</w:t>
      </w:r>
    </w:p>
  </w:footnote>
  <w:footnote w:id="4">
    <w:p w14:paraId="35F66CC2" w14:textId="77777777" w:rsidR="00F23A51" w:rsidRDefault="00F23A51">
      <w:pPr>
        <w:pStyle w:val="Textpoznpodarou"/>
      </w:pPr>
      <w:r>
        <w:rPr>
          <w:rStyle w:val="Znakapoznpodarou"/>
        </w:rPr>
        <w:footnoteRef/>
      </w:r>
      <w:r>
        <w:t xml:space="preserve"> Vyberte z uvedených cílových skupin:</w:t>
      </w:r>
    </w:p>
    <w:p w14:paraId="49B70CD1" w14:textId="77777777" w:rsidR="00F23A51" w:rsidRDefault="00F23A51" w:rsidP="00F23A51">
      <w:pPr>
        <w:pStyle w:val="Textpoznpodarou"/>
      </w:pPr>
      <w:r>
        <w:t xml:space="preserve">   - účastníci neformálního vzdělávání (děti od 3 let, žáci základních a středních škol); </w:t>
      </w:r>
    </w:p>
    <w:p w14:paraId="0E738C90" w14:textId="77777777" w:rsidR="00F23A51" w:rsidRDefault="00F23A51" w:rsidP="00F23A51">
      <w:pPr>
        <w:pStyle w:val="Textpoznpodarou"/>
      </w:pPr>
      <w:r>
        <w:t xml:space="preserve">   - pracovníci a dobrovolní pracovníci organizací působících v oblasti vzdělávání a v oblasti neformálního a zájmového vzdělávání dětí a mládeže;</w:t>
      </w:r>
    </w:p>
    <w:p w14:paraId="01E4339A" w14:textId="77777777" w:rsidR="00F23A51" w:rsidRDefault="00F23A51" w:rsidP="00F23A51">
      <w:pPr>
        <w:pStyle w:val="Textpoznpodarou"/>
      </w:pPr>
      <w:r>
        <w:t xml:space="preserve">   - pedagogičtí pracovníci.</w:t>
      </w:r>
    </w:p>
  </w:footnote>
  <w:footnote w:id="5">
    <w:p w14:paraId="2A9C52C5" w14:textId="77777777" w:rsidR="001A7D88" w:rsidRDefault="001A7D88" w:rsidP="00824E70">
      <w:pPr>
        <w:pStyle w:val="Textpoznpodarou"/>
      </w:pPr>
      <w:r>
        <w:rPr>
          <w:rStyle w:val="Znakapoznpodarou"/>
        </w:rPr>
        <w:footnoteRef/>
      </w:r>
      <w:r w:rsidR="00824E70">
        <w:t xml:space="preserve"> Uvádí se </w:t>
      </w:r>
      <w:r w:rsidR="00D020C3">
        <w:t xml:space="preserve">pouze </w:t>
      </w:r>
      <w:r w:rsidR="00824E70">
        <w:t xml:space="preserve">aktivity za </w:t>
      </w:r>
      <w:r w:rsidR="00824E70" w:rsidRPr="00D020C3">
        <w:rPr>
          <w:b/>
        </w:rPr>
        <w:t>poslední 2 roky před podáním žádosti</w:t>
      </w:r>
      <w:r w:rsidR="00824E70">
        <w:t xml:space="preserve">. </w:t>
      </w:r>
      <w:r>
        <w:t>Např. pravidelná činnost s dětmi a m</w:t>
      </w:r>
      <w:r w:rsidR="00824E70">
        <w:t>ládeží v oddílech, v kroužcích,</w:t>
      </w:r>
      <w:r>
        <w:t xml:space="preserve"> semináře, přednášky, workshopy, </w:t>
      </w:r>
      <w:r w:rsidR="00D020C3">
        <w:t xml:space="preserve"> </w:t>
      </w:r>
      <w:r w:rsidR="00D020C3">
        <w:br/>
        <w:t xml:space="preserve">   </w:t>
      </w:r>
      <w:r>
        <w:t>metodická podpora, poradenství, konzultace</w:t>
      </w:r>
      <w:r w:rsidR="00D020C3">
        <w:t>,</w:t>
      </w:r>
      <w:r w:rsidR="00824E70">
        <w:t xml:space="preserve"> </w:t>
      </w:r>
      <w:r>
        <w:t>vzdělávací materiály</w:t>
      </w:r>
      <w:r w:rsidR="00824E70">
        <w:t>, které byly pro cílovou skupinu vytvořeny atd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DFB44" w14:textId="77777777" w:rsidR="004B0505" w:rsidRPr="00E70B97" w:rsidRDefault="004B050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0" wp14:anchorId="21CC5A2F" wp14:editId="37AC7B6A">
          <wp:simplePos x="0" y="0"/>
          <wp:positionH relativeFrom="margin">
            <wp:posOffset>-719455</wp:posOffset>
          </wp:positionH>
          <wp:positionV relativeFrom="topMargin">
            <wp:posOffset>285115</wp:posOffset>
          </wp:positionV>
          <wp:extent cx="10331450" cy="503555"/>
          <wp:effectExtent l="0" t="0" r="0" b="0"/>
          <wp:wrapSquare wrapText="bothSides"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5A0082D"/>
    <w:multiLevelType w:val="hybridMultilevel"/>
    <w:tmpl w:val="CDC6C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B6ADB"/>
    <w:multiLevelType w:val="hybridMultilevel"/>
    <w:tmpl w:val="5B00A5FE"/>
    <w:lvl w:ilvl="0" w:tplc="3B2C69D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81982"/>
    <w:multiLevelType w:val="hybridMultilevel"/>
    <w:tmpl w:val="8C02C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16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305A1"/>
    <w:rsid w:val="0005072D"/>
    <w:rsid w:val="00056E73"/>
    <w:rsid w:val="000575DE"/>
    <w:rsid w:val="00080004"/>
    <w:rsid w:val="00086DD2"/>
    <w:rsid w:val="00092EB5"/>
    <w:rsid w:val="0009530B"/>
    <w:rsid w:val="0009626F"/>
    <w:rsid w:val="000B2DA1"/>
    <w:rsid w:val="000B62E9"/>
    <w:rsid w:val="000C0205"/>
    <w:rsid w:val="000D09B6"/>
    <w:rsid w:val="000D3830"/>
    <w:rsid w:val="000D4163"/>
    <w:rsid w:val="000E30BE"/>
    <w:rsid w:val="000F245E"/>
    <w:rsid w:val="00127380"/>
    <w:rsid w:val="001339BB"/>
    <w:rsid w:val="00145107"/>
    <w:rsid w:val="00181CD2"/>
    <w:rsid w:val="0019779A"/>
    <w:rsid w:val="001A5E39"/>
    <w:rsid w:val="001A7D88"/>
    <w:rsid w:val="001C1D09"/>
    <w:rsid w:val="001D12DC"/>
    <w:rsid w:val="001E5E8C"/>
    <w:rsid w:val="001F3811"/>
    <w:rsid w:val="0021477A"/>
    <w:rsid w:val="00225523"/>
    <w:rsid w:val="002263EA"/>
    <w:rsid w:val="00234707"/>
    <w:rsid w:val="00243A90"/>
    <w:rsid w:val="0024430B"/>
    <w:rsid w:val="00254D06"/>
    <w:rsid w:val="00263FEA"/>
    <w:rsid w:val="002744EA"/>
    <w:rsid w:val="002824BC"/>
    <w:rsid w:val="00283CA1"/>
    <w:rsid w:val="00284AD6"/>
    <w:rsid w:val="002B678E"/>
    <w:rsid w:val="002B6B01"/>
    <w:rsid w:val="002C4EC1"/>
    <w:rsid w:val="00302B3B"/>
    <w:rsid w:val="00325CE3"/>
    <w:rsid w:val="00331CDC"/>
    <w:rsid w:val="003371BA"/>
    <w:rsid w:val="00350318"/>
    <w:rsid w:val="00352EE2"/>
    <w:rsid w:val="00366503"/>
    <w:rsid w:val="003806D3"/>
    <w:rsid w:val="0038373A"/>
    <w:rsid w:val="003944D7"/>
    <w:rsid w:val="003950BF"/>
    <w:rsid w:val="003975CC"/>
    <w:rsid w:val="003A6698"/>
    <w:rsid w:val="003D28D3"/>
    <w:rsid w:val="003D6FB8"/>
    <w:rsid w:val="003E4EEC"/>
    <w:rsid w:val="003E5669"/>
    <w:rsid w:val="00404008"/>
    <w:rsid w:val="004044D2"/>
    <w:rsid w:val="004128F7"/>
    <w:rsid w:val="004218D1"/>
    <w:rsid w:val="00422F88"/>
    <w:rsid w:val="00424B14"/>
    <w:rsid w:val="0045322E"/>
    <w:rsid w:val="00486201"/>
    <w:rsid w:val="004925F7"/>
    <w:rsid w:val="004938D7"/>
    <w:rsid w:val="004B0505"/>
    <w:rsid w:val="004B22DD"/>
    <w:rsid w:val="004B2790"/>
    <w:rsid w:val="004C0BB9"/>
    <w:rsid w:val="004C5611"/>
    <w:rsid w:val="004E2796"/>
    <w:rsid w:val="004E2797"/>
    <w:rsid w:val="004E4B16"/>
    <w:rsid w:val="004F25A3"/>
    <w:rsid w:val="004F2E46"/>
    <w:rsid w:val="00507AF6"/>
    <w:rsid w:val="0051770D"/>
    <w:rsid w:val="005256E9"/>
    <w:rsid w:val="00555B20"/>
    <w:rsid w:val="00557D3E"/>
    <w:rsid w:val="00582F2C"/>
    <w:rsid w:val="005A51AA"/>
    <w:rsid w:val="005A6C33"/>
    <w:rsid w:val="005A6F6A"/>
    <w:rsid w:val="005C09C2"/>
    <w:rsid w:val="005E2A78"/>
    <w:rsid w:val="005F157D"/>
    <w:rsid w:val="005F25CF"/>
    <w:rsid w:val="005F5E23"/>
    <w:rsid w:val="006470BB"/>
    <w:rsid w:val="00656D9A"/>
    <w:rsid w:val="0066034A"/>
    <w:rsid w:val="0066079D"/>
    <w:rsid w:val="006655EB"/>
    <w:rsid w:val="0066595A"/>
    <w:rsid w:val="0067600D"/>
    <w:rsid w:val="00682B2E"/>
    <w:rsid w:val="00697528"/>
    <w:rsid w:val="006A5267"/>
    <w:rsid w:val="006B0D00"/>
    <w:rsid w:val="006D67A3"/>
    <w:rsid w:val="006E0E08"/>
    <w:rsid w:val="0073104B"/>
    <w:rsid w:val="00731DE2"/>
    <w:rsid w:val="00735AB8"/>
    <w:rsid w:val="0074044B"/>
    <w:rsid w:val="00743C9F"/>
    <w:rsid w:val="00756909"/>
    <w:rsid w:val="00766DAC"/>
    <w:rsid w:val="00776F4B"/>
    <w:rsid w:val="00777A8F"/>
    <w:rsid w:val="00781C83"/>
    <w:rsid w:val="00782279"/>
    <w:rsid w:val="007838B1"/>
    <w:rsid w:val="00787A36"/>
    <w:rsid w:val="00790F1F"/>
    <w:rsid w:val="00793E10"/>
    <w:rsid w:val="007973B2"/>
    <w:rsid w:val="007C0867"/>
    <w:rsid w:val="007C325F"/>
    <w:rsid w:val="007D09BD"/>
    <w:rsid w:val="007D0B21"/>
    <w:rsid w:val="007F2FAE"/>
    <w:rsid w:val="007F5645"/>
    <w:rsid w:val="0080591B"/>
    <w:rsid w:val="00805E09"/>
    <w:rsid w:val="00811575"/>
    <w:rsid w:val="00824E70"/>
    <w:rsid w:val="008376FA"/>
    <w:rsid w:val="008407CD"/>
    <w:rsid w:val="00846ADC"/>
    <w:rsid w:val="00846D24"/>
    <w:rsid w:val="0086517C"/>
    <w:rsid w:val="008675C3"/>
    <w:rsid w:val="00875B6A"/>
    <w:rsid w:val="00891B39"/>
    <w:rsid w:val="008A3E2A"/>
    <w:rsid w:val="008D0125"/>
    <w:rsid w:val="008D44C4"/>
    <w:rsid w:val="008E5B0E"/>
    <w:rsid w:val="008E72DF"/>
    <w:rsid w:val="008F1B22"/>
    <w:rsid w:val="008F46E8"/>
    <w:rsid w:val="009163D8"/>
    <w:rsid w:val="00916726"/>
    <w:rsid w:val="00922567"/>
    <w:rsid w:val="00971157"/>
    <w:rsid w:val="00981B2A"/>
    <w:rsid w:val="00981B55"/>
    <w:rsid w:val="009A2EB8"/>
    <w:rsid w:val="009C5158"/>
    <w:rsid w:val="009C6CC7"/>
    <w:rsid w:val="00A056BC"/>
    <w:rsid w:val="00A15375"/>
    <w:rsid w:val="00A32B38"/>
    <w:rsid w:val="00A36A64"/>
    <w:rsid w:val="00A4597E"/>
    <w:rsid w:val="00A67197"/>
    <w:rsid w:val="00A70D49"/>
    <w:rsid w:val="00A7636F"/>
    <w:rsid w:val="00A808FA"/>
    <w:rsid w:val="00A95A1D"/>
    <w:rsid w:val="00A970EA"/>
    <w:rsid w:val="00AA50F0"/>
    <w:rsid w:val="00AA5EEC"/>
    <w:rsid w:val="00AB6F7F"/>
    <w:rsid w:val="00AE50EB"/>
    <w:rsid w:val="00B02EB2"/>
    <w:rsid w:val="00B0591C"/>
    <w:rsid w:val="00B13D13"/>
    <w:rsid w:val="00B14F16"/>
    <w:rsid w:val="00B23C29"/>
    <w:rsid w:val="00B26D26"/>
    <w:rsid w:val="00B41931"/>
    <w:rsid w:val="00B433AA"/>
    <w:rsid w:val="00B46755"/>
    <w:rsid w:val="00B64433"/>
    <w:rsid w:val="00B75CD0"/>
    <w:rsid w:val="00B93BF5"/>
    <w:rsid w:val="00BA7394"/>
    <w:rsid w:val="00BC21E4"/>
    <w:rsid w:val="00BC5BBB"/>
    <w:rsid w:val="00BD0B5C"/>
    <w:rsid w:val="00BD366B"/>
    <w:rsid w:val="00BD374D"/>
    <w:rsid w:val="00BE6B85"/>
    <w:rsid w:val="00BF696A"/>
    <w:rsid w:val="00C02B55"/>
    <w:rsid w:val="00C03D71"/>
    <w:rsid w:val="00C14149"/>
    <w:rsid w:val="00C17C83"/>
    <w:rsid w:val="00C338B3"/>
    <w:rsid w:val="00C359D2"/>
    <w:rsid w:val="00C37E06"/>
    <w:rsid w:val="00C46F61"/>
    <w:rsid w:val="00C52214"/>
    <w:rsid w:val="00C6334D"/>
    <w:rsid w:val="00C82A0D"/>
    <w:rsid w:val="00C8776C"/>
    <w:rsid w:val="00C908BD"/>
    <w:rsid w:val="00C93A00"/>
    <w:rsid w:val="00CA416A"/>
    <w:rsid w:val="00CB1981"/>
    <w:rsid w:val="00CC1526"/>
    <w:rsid w:val="00CC6628"/>
    <w:rsid w:val="00CD4536"/>
    <w:rsid w:val="00CD51E2"/>
    <w:rsid w:val="00CD5CDA"/>
    <w:rsid w:val="00CE0410"/>
    <w:rsid w:val="00D020C3"/>
    <w:rsid w:val="00D0631E"/>
    <w:rsid w:val="00D22BC2"/>
    <w:rsid w:val="00D259B1"/>
    <w:rsid w:val="00D2628B"/>
    <w:rsid w:val="00D309BA"/>
    <w:rsid w:val="00D658B4"/>
    <w:rsid w:val="00D71CF5"/>
    <w:rsid w:val="00DA58F9"/>
    <w:rsid w:val="00DB3F18"/>
    <w:rsid w:val="00DF68A6"/>
    <w:rsid w:val="00E13D07"/>
    <w:rsid w:val="00E22776"/>
    <w:rsid w:val="00E26C15"/>
    <w:rsid w:val="00E3346A"/>
    <w:rsid w:val="00E40DDE"/>
    <w:rsid w:val="00E43EA0"/>
    <w:rsid w:val="00E545FD"/>
    <w:rsid w:val="00E70B97"/>
    <w:rsid w:val="00EA7354"/>
    <w:rsid w:val="00EA7645"/>
    <w:rsid w:val="00EB223E"/>
    <w:rsid w:val="00EB66B0"/>
    <w:rsid w:val="00EC0A9C"/>
    <w:rsid w:val="00ED0DE1"/>
    <w:rsid w:val="00ED63A3"/>
    <w:rsid w:val="00EE17A3"/>
    <w:rsid w:val="00EF4A3B"/>
    <w:rsid w:val="00EF7DEC"/>
    <w:rsid w:val="00F070E8"/>
    <w:rsid w:val="00F1766B"/>
    <w:rsid w:val="00F23A51"/>
    <w:rsid w:val="00F422D9"/>
    <w:rsid w:val="00F476FD"/>
    <w:rsid w:val="00F50709"/>
    <w:rsid w:val="00F5270F"/>
    <w:rsid w:val="00F66BD3"/>
    <w:rsid w:val="00F677BB"/>
    <w:rsid w:val="00F705B7"/>
    <w:rsid w:val="00FA4402"/>
    <w:rsid w:val="00FA446E"/>
    <w:rsid w:val="00FA5508"/>
    <w:rsid w:val="00FA6E8D"/>
    <w:rsid w:val="00FB111F"/>
    <w:rsid w:val="00FB5D98"/>
    <w:rsid w:val="00FC2676"/>
    <w:rsid w:val="00FD1FDD"/>
    <w:rsid w:val="00FE0022"/>
    <w:rsid w:val="00FE19D7"/>
    <w:rsid w:val="00FE3238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F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paragraph" w:styleId="Nzev">
    <w:name w:val="Title"/>
    <w:basedOn w:val="Normln"/>
    <w:link w:val="NzevChar"/>
    <w:qFormat/>
    <w:rsid w:val="00B13D1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39"/>
    <w:rsid w:val="00E3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table" w:customStyle="1" w:styleId="Mkatabulky1">
    <w:name w:val="Mřížka tabulky1"/>
    <w:basedOn w:val="Normlntabulka"/>
    <w:uiPriority w:val="39"/>
    <w:rsid w:val="0081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paragraph" w:styleId="Revize">
    <w:name w:val="Revision"/>
    <w:hidden/>
    <w:uiPriority w:val="99"/>
    <w:semiHidden/>
    <w:rsid w:val="00284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paragraph" w:styleId="Nzev">
    <w:name w:val="Title"/>
    <w:basedOn w:val="Normln"/>
    <w:link w:val="NzevChar"/>
    <w:qFormat/>
    <w:rsid w:val="00B13D1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39"/>
    <w:rsid w:val="00E3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table" w:customStyle="1" w:styleId="Mkatabulky1">
    <w:name w:val="Mřížka tabulky1"/>
    <w:basedOn w:val="Normlntabulka"/>
    <w:uiPriority w:val="39"/>
    <w:rsid w:val="0081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paragraph" w:styleId="Revize">
    <w:name w:val="Revision"/>
    <w:hidden/>
    <w:uiPriority w:val="99"/>
    <w:semiHidden/>
    <w:rsid w:val="00284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15OPMSMT0001-28-102005</_dlc_DocId>
    <_dlc_DocIdUrl xmlns="0104a4cd-1400-468e-be1b-c7aad71d7d5a">
      <Url>http://op.msmt.cz/_layouts/15/DocIdRedir.aspx?ID=15OPMSMT0001-28-102005</Url>
      <Description>15OPMSMT0001-28-102005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104a4cd-1400-468e-be1b-c7aad71d7d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FAB34C-8C0E-400D-8862-18EB57BB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988F5B-984D-4466-A6A5-E7F862D6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Katka</cp:lastModifiedBy>
  <cp:revision>2</cp:revision>
  <cp:lastPrinted>2015-09-21T10:54:00Z</cp:lastPrinted>
  <dcterms:created xsi:type="dcterms:W3CDTF">2019-03-27T10:07:00Z</dcterms:created>
  <dcterms:modified xsi:type="dcterms:W3CDTF">2019-03-27T10:07:00Z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d504a9e2-f056-4755-8557-ccbc8081a625</vt:lpwstr>
  </property>
  <property fmtid="{D5CDD505-2E9C-101B-9397-08002B2CF9AE}" pid="4" name="Komentář">
    <vt:lpwstr/>
  </property>
</Properties>
</file>